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45" w:rsidRDefault="00656145" w:rsidP="00656145">
      <w:pPr>
        <w:spacing w:line="1700" w:lineRule="exact"/>
        <w:jc w:val="center"/>
        <w:rPr>
          <w:rFonts w:ascii="方正小标宋简体" w:eastAsia="方正小标宋简体"/>
          <w:bCs/>
          <w:color w:val="FF0000"/>
          <w:spacing w:val="-10"/>
          <w:w w:val="66"/>
          <w:sz w:val="112"/>
          <w:szCs w:val="84"/>
        </w:rPr>
      </w:pPr>
      <w:r>
        <w:rPr>
          <w:rFonts w:ascii="方正小标宋简体" w:eastAsia="方正小标宋简体" w:hint="eastAsia"/>
          <w:bCs/>
          <w:color w:val="FF0000"/>
          <w:spacing w:val="-10"/>
          <w:w w:val="66"/>
          <w:sz w:val="112"/>
          <w:szCs w:val="84"/>
        </w:rPr>
        <w:t>皖西学院电子与信息工程学院</w:t>
      </w:r>
    </w:p>
    <w:p w:rsidR="00656145" w:rsidRDefault="00656145" w:rsidP="00656145">
      <w:pPr>
        <w:spacing w:line="0" w:lineRule="atLeast"/>
        <w:ind w:firstLineChars="200" w:firstLine="640"/>
        <w:rPr>
          <w:color w:val="000000"/>
          <w:sz w:val="32"/>
        </w:rPr>
      </w:pPr>
    </w:p>
    <w:p w:rsidR="00656145" w:rsidRDefault="00656145" w:rsidP="00656145">
      <w:pPr>
        <w:spacing w:line="0" w:lineRule="atLeast"/>
        <w:jc w:val="center"/>
        <w:rPr>
          <w:rFonts w:ascii="仿宋_GB2312" w:eastAsia="仿宋_GB2312"/>
          <w:color w:val="000000"/>
          <w:sz w:val="28"/>
        </w:rPr>
      </w:pPr>
    </w:p>
    <w:p w:rsidR="00656145" w:rsidRPr="00F6598A" w:rsidRDefault="000267BC" w:rsidP="00F6598A">
      <w:pPr>
        <w:widowControl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电信</w:t>
      </w:r>
      <w:r w:rsidR="00F6598A" w:rsidRPr="001324E9">
        <w:rPr>
          <w:rFonts w:ascii="宋体" w:hAnsi="宋体" w:hint="eastAsia"/>
          <w:sz w:val="30"/>
          <w:szCs w:val="30"/>
        </w:rPr>
        <w:t>院</w:t>
      </w:r>
      <w:r w:rsidR="00F35A81">
        <w:rPr>
          <w:rFonts w:ascii="宋体" w:hAnsi="宋体" w:hint="eastAsia"/>
          <w:sz w:val="30"/>
          <w:szCs w:val="30"/>
        </w:rPr>
        <w:t>发</w:t>
      </w:r>
      <w:r w:rsidR="00F6598A" w:rsidRPr="001324E9">
        <w:rPr>
          <w:rFonts w:ascii="宋体" w:hAnsi="宋体" w:hint="eastAsia"/>
          <w:sz w:val="30"/>
          <w:szCs w:val="30"/>
        </w:rPr>
        <w:t>【20</w:t>
      </w:r>
      <w:r w:rsidR="0011413B">
        <w:rPr>
          <w:rFonts w:ascii="宋体" w:hAnsi="宋体" w:hint="eastAsia"/>
          <w:sz w:val="30"/>
          <w:szCs w:val="30"/>
        </w:rPr>
        <w:t>20</w:t>
      </w:r>
      <w:r w:rsidR="00F6598A" w:rsidRPr="001324E9">
        <w:rPr>
          <w:rFonts w:ascii="宋体" w:hAnsi="宋体" w:hint="eastAsia"/>
          <w:sz w:val="30"/>
          <w:szCs w:val="30"/>
        </w:rPr>
        <w:t>】</w:t>
      </w:r>
      <w:r w:rsidR="00872ADE">
        <w:rPr>
          <w:rFonts w:ascii="宋体" w:hAnsi="宋体" w:hint="eastAsia"/>
          <w:sz w:val="30"/>
          <w:szCs w:val="30"/>
        </w:rPr>
        <w:t>3</w:t>
      </w:r>
      <w:r w:rsidR="00F6598A" w:rsidRPr="001324E9">
        <w:rPr>
          <w:rFonts w:ascii="宋体" w:hAnsi="宋体" w:hint="eastAsia"/>
          <w:sz w:val="30"/>
          <w:szCs w:val="30"/>
        </w:rPr>
        <w:t>号</w:t>
      </w:r>
    </w:p>
    <w:p w:rsidR="0011413B" w:rsidRDefault="008129D1" w:rsidP="00872ADE">
      <w:pPr>
        <w:spacing w:line="500" w:lineRule="exact"/>
        <w:jc w:val="center"/>
        <w:rPr>
          <w:rFonts w:ascii="宋体" w:hAnsi="宋体" w:hint="eastAsia"/>
          <w:color w:val="000000"/>
          <w:sz w:val="44"/>
          <w:szCs w:val="32"/>
        </w:rPr>
      </w:pPr>
      <w:r w:rsidRPr="008129D1">
        <w:pict>
          <v:line id="直线 7" o:spid="_x0000_s1026" style="position:absolute;left:0;text-align:left;z-index:251658240" from="28.25pt,18.75pt" to="487.3pt,18.75pt" strokecolor="red" strokeweight="2.25pt"/>
        </w:pict>
      </w:r>
    </w:p>
    <w:p w:rsidR="00872ADE" w:rsidRDefault="00872ADE" w:rsidP="00872ADE">
      <w:pPr>
        <w:spacing w:line="500" w:lineRule="exact"/>
        <w:jc w:val="center"/>
        <w:rPr>
          <w:rFonts w:ascii="宋体" w:hAnsi="宋体" w:hint="eastAsia"/>
          <w:color w:val="000000"/>
          <w:sz w:val="44"/>
          <w:szCs w:val="32"/>
        </w:rPr>
      </w:pPr>
    </w:p>
    <w:p w:rsidR="00872ADE" w:rsidRPr="005F4C9F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left="567"/>
        <w:jc w:val="center"/>
        <w:rPr>
          <w:rFonts w:asciiTheme="majorEastAsia" w:eastAsiaTheme="majorEastAsia" w:hAnsiTheme="majorEastAsia" w:cs="Times New Roman" w:hint="eastAsia"/>
          <w:color w:val="333333"/>
          <w:sz w:val="36"/>
          <w:szCs w:val="36"/>
          <w:shd w:val="clear" w:color="auto" w:fill="FFFFFF"/>
        </w:rPr>
      </w:pPr>
      <w:r w:rsidRPr="005F4C9F">
        <w:rPr>
          <w:rFonts w:asciiTheme="majorEastAsia" w:eastAsiaTheme="majorEastAsia" w:hAnsiTheme="majorEastAsia" w:cs="Times New Roman"/>
          <w:color w:val="333333"/>
          <w:sz w:val="36"/>
          <w:szCs w:val="36"/>
          <w:shd w:val="clear" w:color="auto" w:fill="FFFFFF"/>
        </w:rPr>
        <w:t>电子与信息工程学院毕业生就业创业服务工作</w:t>
      </w:r>
    </w:p>
    <w:p w:rsidR="00872ADE" w:rsidRPr="005F4C9F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Theme="majorEastAsia" w:eastAsiaTheme="majorEastAsia" w:hAnsiTheme="majorEastAsia" w:cs="Times New Roman" w:hint="eastAsia"/>
          <w:color w:val="333333"/>
          <w:sz w:val="36"/>
          <w:szCs w:val="36"/>
          <w:shd w:val="clear" w:color="auto" w:fill="FFFFFF"/>
        </w:rPr>
      </w:pPr>
      <w:r w:rsidRPr="005F4C9F">
        <w:rPr>
          <w:rFonts w:asciiTheme="majorEastAsia" w:eastAsiaTheme="majorEastAsia" w:hAnsiTheme="majorEastAsia" w:cs="Times New Roman"/>
          <w:color w:val="333333"/>
          <w:sz w:val="36"/>
          <w:szCs w:val="36"/>
          <w:shd w:val="clear" w:color="auto" w:fill="FFFFFF"/>
        </w:rPr>
        <w:t>实施方案</w:t>
      </w:r>
    </w:p>
    <w:p w:rsid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Times New Roman" w:eastAsia="黑体" w:hAnsi="Times New Roman" w:cs="Times New Roman" w:hint="eastAsia"/>
          <w:color w:val="333333"/>
          <w:sz w:val="44"/>
          <w:szCs w:val="36"/>
        </w:rPr>
      </w:pPr>
    </w:p>
    <w:p w:rsid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" w:eastAsia="仿宋" w:hAnsi="仿宋" w:hint="eastAsia"/>
          <w:bCs/>
          <w:color w:val="333333"/>
          <w:sz w:val="30"/>
          <w:szCs w:val="30"/>
        </w:rPr>
      </w:pPr>
      <w:r w:rsidRPr="005F4C9F">
        <w:rPr>
          <w:rFonts w:ascii="仿宋" w:eastAsia="仿宋" w:hAnsi="仿宋" w:hint="eastAsia"/>
          <w:bCs/>
          <w:color w:val="333333"/>
          <w:sz w:val="30"/>
          <w:szCs w:val="30"/>
        </w:rPr>
        <w:t>为保障2020届毕业生就业工作的安全稳定推进，促进毕业生更高质量和更充分就业，特制定本方案。</w:t>
      </w:r>
    </w:p>
    <w:p w:rsidR="00872ADE" w:rsidRP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872ADE">
        <w:rPr>
          <w:rFonts w:ascii="仿宋" w:eastAsia="仿宋" w:hAnsi="仿宋" w:hint="eastAsia"/>
          <w:b/>
          <w:bCs/>
          <w:color w:val="333333"/>
          <w:sz w:val="30"/>
          <w:szCs w:val="30"/>
        </w:rPr>
        <w:t>一、</w:t>
      </w:r>
      <w:r w:rsidRPr="00872ADE">
        <w:rPr>
          <w:rFonts w:ascii="仿宋" w:eastAsia="仿宋" w:hAnsi="仿宋"/>
          <w:b/>
          <w:sz w:val="30"/>
          <w:szCs w:val="30"/>
        </w:rPr>
        <w:t>加强组织领导明确目标责任</w:t>
      </w:r>
    </w:p>
    <w:p w:rsidR="00872ADE" w:rsidRP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" w:eastAsia="仿宋" w:hAnsi="仿宋" w:hint="eastAsia"/>
          <w:color w:val="333333"/>
          <w:sz w:val="30"/>
          <w:szCs w:val="30"/>
        </w:rPr>
      </w:pPr>
      <w:r w:rsidRPr="00872ADE">
        <w:rPr>
          <w:rFonts w:ascii="仿宋" w:eastAsia="仿宋" w:hAnsi="仿宋"/>
          <w:color w:val="333333"/>
          <w:sz w:val="30"/>
          <w:szCs w:val="30"/>
        </w:rPr>
        <w:t>认真贯彻落实校党委提出的就业工作“一把手”工程及全员关心支持就业的制度，继续把毕业生就业工作摆在突出位置，实现全员动员、目标明确、责任到人、强化考核</w:t>
      </w:r>
      <w:r w:rsidRPr="00872ADE">
        <w:rPr>
          <w:rFonts w:ascii="仿宋" w:eastAsia="仿宋" w:hAnsi="仿宋" w:hint="eastAsia"/>
          <w:color w:val="333333"/>
          <w:sz w:val="30"/>
          <w:szCs w:val="30"/>
        </w:rPr>
        <w:t>。</w:t>
      </w:r>
    </w:p>
    <w:p w:rsidR="00872ADE" w:rsidRP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2"/>
        <w:rPr>
          <w:rFonts w:ascii="仿宋" w:eastAsia="仿宋" w:hAnsi="仿宋" w:hint="eastAsia"/>
          <w:b/>
          <w:color w:val="333333"/>
          <w:sz w:val="30"/>
          <w:szCs w:val="30"/>
        </w:rPr>
      </w:pPr>
      <w:r w:rsidRPr="00872ADE">
        <w:rPr>
          <w:rFonts w:ascii="仿宋" w:eastAsia="仿宋" w:hAnsi="仿宋" w:hint="eastAsia"/>
          <w:b/>
          <w:color w:val="333333"/>
          <w:sz w:val="30"/>
          <w:szCs w:val="30"/>
        </w:rPr>
        <w:t>（一）成立领导小组</w:t>
      </w:r>
    </w:p>
    <w:p w:rsidR="00872ADE" w:rsidRPr="00872ADE" w:rsidRDefault="00872ADE" w:rsidP="00872AD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" w:eastAsia="仿宋" w:hAnsi="仿宋" w:hint="eastAsia"/>
          <w:bCs/>
          <w:color w:val="333333"/>
          <w:sz w:val="30"/>
          <w:szCs w:val="30"/>
        </w:rPr>
      </w:pPr>
      <w:r w:rsidRPr="00872ADE">
        <w:rPr>
          <w:rFonts w:ascii="仿宋" w:eastAsia="仿宋" w:hAnsi="仿宋"/>
          <w:color w:val="333333"/>
          <w:sz w:val="30"/>
          <w:szCs w:val="30"/>
        </w:rPr>
        <w:t>充分发挥学院就业工作领导小组的作用，真正落实好单位主要领导负总责，学工</w:t>
      </w:r>
      <w:r w:rsidRPr="00872ADE">
        <w:rPr>
          <w:rFonts w:ascii="仿宋" w:eastAsia="仿宋" w:hAnsi="仿宋" w:hint="eastAsia"/>
          <w:color w:val="333333"/>
          <w:sz w:val="30"/>
          <w:szCs w:val="30"/>
        </w:rPr>
        <w:t>副</w:t>
      </w:r>
      <w:r w:rsidRPr="00872ADE">
        <w:rPr>
          <w:rFonts w:ascii="仿宋" w:eastAsia="仿宋" w:hAnsi="仿宋"/>
          <w:color w:val="333333"/>
          <w:sz w:val="30"/>
          <w:szCs w:val="30"/>
        </w:rPr>
        <w:t>书记亲自抓、辅导员老师天天抓、专业教师积极参与的工作机制。</w:t>
      </w:r>
      <w:r w:rsidRPr="00872ADE">
        <w:rPr>
          <w:rFonts w:ascii="仿宋" w:eastAsia="仿宋" w:hAnsi="仿宋" w:hint="eastAsia"/>
          <w:color w:val="333333"/>
          <w:sz w:val="30"/>
          <w:szCs w:val="30"/>
        </w:rPr>
        <w:t>学院领导每人联系一个专业，对负责专业进行就业指导、进度督导。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="585"/>
        <w:jc w:val="left"/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</w:pPr>
      <w:r w:rsidRPr="00872ADE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组长：汪维山、符茂胜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="585"/>
        <w:jc w:val="left"/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</w:pPr>
      <w:r w:rsidRPr="00872ADE">
        <w:rPr>
          <w:rFonts w:ascii="仿宋" w:eastAsia="仿宋" w:hAnsi="仿宋" w:hint="eastAsia"/>
          <w:color w:val="333333"/>
          <w:kern w:val="0"/>
          <w:sz w:val="30"/>
          <w:szCs w:val="30"/>
        </w:rPr>
        <w:t>常务副组长:程杨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</w:pPr>
      <w:r w:rsidRPr="00872ADE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副组长：周先存、郁书好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</w:pPr>
      <w:r w:rsidRPr="00872ADE">
        <w:rPr>
          <w:rFonts w:ascii="仿宋" w:eastAsia="仿宋" w:hAnsi="仿宋" w:hint="eastAsia"/>
          <w:color w:val="333333"/>
          <w:kern w:val="0"/>
          <w:sz w:val="30"/>
          <w:szCs w:val="30"/>
        </w:rPr>
        <w:t>就业联络员：毕冉、王辉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成员：史晶晶、张静雅、姜倩、黄家兵、裴明敬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Chars="200" w:firstLine="602"/>
        <w:jc w:val="center"/>
        <w:rPr>
          <w:rFonts w:ascii="仿宋" w:eastAsia="仿宋" w:hAnsi="仿宋" w:hint="eastAsia"/>
          <w:b/>
          <w:color w:val="333333"/>
          <w:kern w:val="0"/>
          <w:sz w:val="30"/>
          <w:szCs w:val="30"/>
        </w:rPr>
      </w:pP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2"/>
        <w:jc w:val="center"/>
        <w:rPr>
          <w:rFonts w:ascii="仿宋" w:eastAsia="仿宋" w:hAnsi="仿宋" w:hint="eastAsia"/>
          <w:b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lastRenderedPageBreak/>
        <w:t>学院领导联系专业一览表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977"/>
        <w:gridCol w:w="2410"/>
      </w:tblGrid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 w:hint="eastAsia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color w:val="333333"/>
                <w:kern w:val="0"/>
                <w:sz w:val="30"/>
                <w:szCs w:val="30"/>
              </w:rPr>
              <w:t>专业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color w:val="333333"/>
                <w:kern w:val="0"/>
                <w:sz w:val="30"/>
                <w:szCs w:val="30"/>
              </w:rPr>
              <w:t>联系领导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 w:hint="eastAsia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color w:val="333333"/>
                <w:kern w:val="0"/>
                <w:sz w:val="30"/>
                <w:szCs w:val="30"/>
              </w:rPr>
              <w:t>辅导员</w:t>
            </w:r>
          </w:p>
        </w:tc>
      </w:tr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电子信息工程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汪维山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张静雅</w:t>
            </w:r>
          </w:p>
        </w:tc>
      </w:tr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通信工程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符茂胜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裴明敬</w:t>
            </w:r>
          </w:p>
        </w:tc>
      </w:tr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电子信息科学与技术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程杨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黄家兵</w:t>
            </w:r>
          </w:p>
        </w:tc>
      </w:tr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网络工程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周先存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史晶晶</w:t>
            </w:r>
          </w:p>
        </w:tc>
      </w:tr>
      <w:tr w:rsidR="00872ADE" w:rsidRPr="005F4C9F" w:rsidTr="00872ADE">
        <w:tc>
          <w:tcPr>
            <w:tcW w:w="2551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计算科学与技术</w:t>
            </w:r>
          </w:p>
        </w:tc>
        <w:tc>
          <w:tcPr>
            <w:tcW w:w="2977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郁书好</w:t>
            </w:r>
          </w:p>
        </w:tc>
        <w:tc>
          <w:tcPr>
            <w:tcW w:w="2410" w:type="dxa"/>
          </w:tcPr>
          <w:p w:rsidR="00872ADE" w:rsidRPr="005F4C9F" w:rsidRDefault="00872ADE" w:rsidP="008D4E75">
            <w:pPr>
              <w:pStyle w:val="1"/>
              <w:spacing w:before="0" w:after="0" w:line="500" w:lineRule="exact"/>
              <w:jc w:val="center"/>
              <w:rPr>
                <w:rFonts w:ascii="仿宋" w:eastAsia="仿宋" w:hAnsi="仿宋"/>
                <w:b w:val="0"/>
                <w:bCs w:val="0"/>
                <w:color w:val="333333"/>
                <w:kern w:val="0"/>
                <w:sz w:val="30"/>
                <w:szCs w:val="30"/>
              </w:rPr>
            </w:pPr>
            <w:r w:rsidRPr="005F4C9F">
              <w:rPr>
                <w:rFonts w:ascii="仿宋" w:eastAsia="仿宋" w:hAnsi="仿宋" w:hint="eastAsia"/>
                <w:b w:val="0"/>
                <w:bCs w:val="0"/>
                <w:color w:val="333333"/>
                <w:kern w:val="0"/>
                <w:sz w:val="30"/>
                <w:szCs w:val="30"/>
              </w:rPr>
              <w:t>姜倩</w:t>
            </w:r>
          </w:p>
        </w:tc>
      </w:tr>
    </w:tbl>
    <w:p w:rsidR="00872ADE" w:rsidRPr="005F4C9F" w:rsidRDefault="00872ADE" w:rsidP="00872ADE">
      <w:pPr>
        <w:widowControl/>
        <w:shd w:val="clear" w:color="auto" w:fill="FFFFFF"/>
        <w:spacing w:line="500" w:lineRule="exact"/>
        <w:ind w:left="562" w:right="600"/>
        <w:jc w:val="left"/>
        <w:rPr>
          <w:rFonts w:ascii="仿宋" w:eastAsia="仿宋" w:hAnsi="仿宋" w:hint="eastAsia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（二）</w:t>
      </w:r>
      <w:r w:rsidRPr="005F4C9F">
        <w:rPr>
          <w:rFonts w:ascii="仿宋" w:eastAsia="仿宋" w:hAnsi="仿宋" w:hint="eastAsia"/>
          <w:b/>
          <w:bCs/>
          <w:kern w:val="0"/>
          <w:sz w:val="30"/>
          <w:szCs w:val="30"/>
        </w:rPr>
        <w:t>发挥教师优势</w:t>
      </w:r>
    </w:p>
    <w:p w:rsid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0"/>
        <w:jc w:val="left"/>
        <w:rPr>
          <w:rFonts w:ascii="仿宋" w:eastAsia="仿宋" w:hAnsi="仿宋" w:hint="eastAsia"/>
          <w:kern w:val="0"/>
          <w:sz w:val="30"/>
          <w:szCs w:val="30"/>
        </w:rPr>
      </w:pPr>
      <w:r w:rsidRPr="005F4C9F">
        <w:rPr>
          <w:rFonts w:ascii="仿宋" w:eastAsia="仿宋" w:hAnsi="仿宋"/>
          <w:kern w:val="0"/>
          <w:sz w:val="30"/>
          <w:szCs w:val="30"/>
        </w:rPr>
        <w:t>充分发挥专任教师的积极性，明确毕业设计指导老师</w:t>
      </w:r>
      <w:r w:rsidRPr="005F4C9F">
        <w:rPr>
          <w:rFonts w:ascii="仿宋" w:eastAsia="仿宋" w:hAnsi="仿宋" w:hint="eastAsia"/>
          <w:kern w:val="0"/>
          <w:sz w:val="30"/>
          <w:szCs w:val="30"/>
        </w:rPr>
        <w:t>对</w:t>
      </w:r>
      <w:r w:rsidRPr="005F4C9F">
        <w:rPr>
          <w:rFonts w:ascii="仿宋" w:eastAsia="仿宋" w:hAnsi="仿宋"/>
          <w:kern w:val="0"/>
          <w:sz w:val="30"/>
          <w:szCs w:val="30"/>
        </w:rPr>
        <w:t>所带毕业生</w:t>
      </w:r>
      <w:r w:rsidRPr="005F4C9F">
        <w:rPr>
          <w:rFonts w:ascii="仿宋" w:eastAsia="仿宋" w:hAnsi="仿宋" w:hint="eastAsia"/>
          <w:kern w:val="0"/>
          <w:sz w:val="30"/>
          <w:szCs w:val="30"/>
        </w:rPr>
        <w:t>进行考研初试、复试专业课指导、就业指导。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2"/>
        <w:jc w:val="left"/>
        <w:rPr>
          <w:rFonts w:ascii="仿宋" w:eastAsia="仿宋" w:hAnsi="仿宋" w:hint="eastAsia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t>（三）</w:t>
      </w:r>
      <w:r w:rsidRPr="005F4C9F"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t>建立信息台账</w:t>
      </w:r>
    </w:p>
    <w:p w:rsid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0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认真做好毕业生就业信息登记工作。毕业班辅导员要如实记录毕业生个人基本信息、就业去向、就业</w:t>
      </w: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意向、考研以及享受政策等情况，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每两周更新一次。同时，对未就业学生信息进行分析，对就业困难学生实行</w:t>
      </w: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联系领导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和辅导员协力“一对一”帮扶</w:t>
      </w: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，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切实做到为毕业生“送岗位、送政策、送指导”。  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2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t>（四）</w:t>
      </w:r>
      <w:r w:rsidRPr="005F4C9F"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t>明确</w:t>
      </w:r>
      <w:r w:rsidRPr="005F4C9F">
        <w:rPr>
          <w:rFonts w:ascii="仿宋" w:eastAsia="仿宋" w:hAnsi="仿宋"/>
          <w:b/>
          <w:color w:val="333333"/>
          <w:kern w:val="0"/>
          <w:sz w:val="30"/>
          <w:szCs w:val="30"/>
        </w:rPr>
        <w:t>目标任务</w:t>
      </w:r>
    </w:p>
    <w:p w:rsid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0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结合往年就业进度及本届毕业生目前就业情况，制定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各专业</w:t>
      </w: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就业目标：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4月份就业率达到20%；5月份达到45%；6月份达到75%；7月份达到90%。保证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毕业生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初次</w:t>
      </w:r>
      <w:r w:rsidRPr="005F4C9F">
        <w:rPr>
          <w:rFonts w:ascii="仿宋" w:eastAsia="仿宋" w:hAnsi="仿宋"/>
          <w:bCs/>
          <w:color w:val="333333"/>
          <w:kern w:val="0"/>
          <w:sz w:val="30"/>
          <w:szCs w:val="30"/>
        </w:rPr>
        <w:t>就业率</w:t>
      </w:r>
      <w:r w:rsidRPr="005F4C9F">
        <w:rPr>
          <w:rFonts w:ascii="仿宋" w:eastAsia="仿宋" w:hAnsi="仿宋" w:hint="eastAsia"/>
          <w:bCs/>
          <w:color w:val="333333"/>
          <w:kern w:val="0"/>
          <w:sz w:val="30"/>
          <w:szCs w:val="30"/>
        </w:rPr>
        <w:t>达到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9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2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%以上，协议合同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签约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率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6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0%</w:t>
      </w:r>
      <w:r w:rsidRPr="005F4C9F">
        <w:rPr>
          <w:rFonts w:ascii="仿宋" w:eastAsia="仿宋" w:hAnsi="仿宋"/>
          <w:bCs/>
          <w:color w:val="333333"/>
          <w:kern w:val="0"/>
          <w:sz w:val="30"/>
          <w:szCs w:val="30"/>
        </w:rPr>
        <w:t>以上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；确保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6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0%以上的毕业生“足不出校”成功获取第一个就业岗位（含升学同学）。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right="600" w:firstLineChars="200" w:firstLine="602"/>
        <w:jc w:val="left"/>
        <w:rPr>
          <w:rFonts w:ascii="仿宋" w:eastAsia="仿宋" w:hAnsi="仿宋"/>
          <w:b/>
          <w:color w:val="333333"/>
          <w:kern w:val="0"/>
          <w:sz w:val="30"/>
          <w:szCs w:val="30"/>
        </w:rPr>
      </w:pPr>
      <w:r w:rsidRPr="00872ADE">
        <w:rPr>
          <w:rFonts w:ascii="仿宋" w:eastAsia="仿宋" w:hAnsi="仿宋" w:hint="eastAsia"/>
          <w:b/>
          <w:sz w:val="30"/>
          <w:szCs w:val="30"/>
        </w:rPr>
        <w:t>二</w:t>
      </w:r>
      <w:r w:rsidRPr="00872ADE">
        <w:rPr>
          <w:rFonts w:ascii="仿宋" w:eastAsia="仿宋" w:hAnsi="仿宋"/>
          <w:b/>
          <w:sz w:val="30"/>
          <w:szCs w:val="30"/>
        </w:rPr>
        <w:t>、拓宽就业渠道确保充分就业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充分发挥学院在学校就业创业工作中的基础性作用，积极拓展就业渠道，助推学生就业，确保顺利完成校院两级就业工作目标。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  <w:t>（一）</w:t>
      </w:r>
      <w:r w:rsidRPr="005F4C9F">
        <w:rPr>
          <w:rFonts w:ascii="仿宋" w:eastAsia="仿宋" w:hAnsi="仿宋"/>
          <w:b/>
          <w:bCs/>
          <w:color w:val="333333"/>
          <w:kern w:val="36"/>
          <w:sz w:val="30"/>
          <w:szCs w:val="30"/>
        </w:rPr>
        <w:t>坚持信息采集发布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Chars="200" w:firstLine="600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lastRenderedPageBreak/>
        <w:t>一是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充分发挥学院产学研合作资源、校友资源、教师人脉资源，结合专业实际，多渠道收集适合我院毕业生的就业岗位信息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，经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就业联络员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核实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汇总后通过学院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网站和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QQ平台及时发布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用人单位信息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，实现就业信息资源共享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，</w:t>
      </w: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招聘信息全覆盖</w:t>
      </w:r>
      <w:r w:rsidRPr="005F4C9F">
        <w:rPr>
          <w:rFonts w:ascii="仿宋" w:eastAsia="仿宋" w:hAnsi="仿宋" w:hint="eastAsia"/>
          <w:color w:val="333333"/>
          <w:kern w:val="36"/>
          <w:sz w:val="30"/>
          <w:szCs w:val="30"/>
        </w:rPr>
        <w:t>；二是通过学院官微，定期分享就业成功学生求职经历和技巧，介绍好的经验和作法。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2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  <w:t>（二）</w:t>
      </w:r>
      <w:r w:rsidRPr="005F4C9F">
        <w:rPr>
          <w:rFonts w:ascii="仿宋" w:eastAsia="仿宋" w:hAnsi="仿宋"/>
          <w:b/>
          <w:bCs/>
          <w:color w:val="333333"/>
          <w:kern w:val="36"/>
          <w:sz w:val="30"/>
          <w:szCs w:val="30"/>
        </w:rPr>
        <w:t>精准推送就业服务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Chars="200" w:firstLine="600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36"/>
          <w:sz w:val="30"/>
          <w:szCs w:val="30"/>
        </w:rPr>
        <w:t>开展个性化定制服务，为毕业生送政策、送指导、送信息。高度重视心理健康辅导，及时疏导毕业生求职焦虑等心理问题，帮助毕业生调整就业预期，科学规划职业生涯，积极主动就业创业。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2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  <w:t>（三）</w:t>
      </w:r>
      <w:r w:rsidRPr="005F4C9F">
        <w:rPr>
          <w:rFonts w:ascii="仿宋" w:eastAsia="仿宋" w:hAnsi="仿宋"/>
          <w:b/>
          <w:bCs/>
          <w:color w:val="333333"/>
          <w:kern w:val="36"/>
          <w:sz w:val="30"/>
          <w:szCs w:val="30"/>
        </w:rPr>
        <w:t>加强招聘活动组织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Chars="200" w:firstLine="600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全力配合学生处组织好校内大型系列宣讲招聘活动。结合学科专业特点、专业教师影响力，拓展相关行业人才市场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，举办专场招聘会，鉴于疫情影响，当前主要以网络招聘会的形式进行，确保平均每周在学院网站发布一场网络专场招聘会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。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加强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就业联络走访企业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，力保每年新增一个就业基地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。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2"/>
        <w:outlineLvl w:val="0"/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333333"/>
          <w:kern w:val="36"/>
          <w:sz w:val="30"/>
          <w:szCs w:val="30"/>
        </w:rPr>
        <w:t>（四）</w:t>
      </w:r>
      <w:r w:rsidRPr="005F4C9F">
        <w:rPr>
          <w:rFonts w:ascii="仿宋" w:eastAsia="仿宋" w:hAnsi="仿宋"/>
          <w:b/>
          <w:bCs/>
          <w:color w:val="333333"/>
          <w:kern w:val="36"/>
          <w:sz w:val="30"/>
          <w:szCs w:val="30"/>
        </w:rPr>
        <w:t>做好基层就业项目</w:t>
      </w:r>
    </w:p>
    <w:p w:rsidR="00872ADE" w:rsidRDefault="00872ADE" w:rsidP="00872ADE">
      <w:pPr>
        <w:widowControl/>
        <w:shd w:val="clear" w:color="auto" w:fill="FFFFFF"/>
        <w:spacing w:line="500" w:lineRule="exact"/>
        <w:ind w:firstLineChars="200" w:firstLine="602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b/>
          <w:bCs/>
          <w:color w:val="333333"/>
          <w:kern w:val="36"/>
          <w:sz w:val="30"/>
          <w:szCs w:val="30"/>
        </w:rPr>
        <w:t>一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是不断创新思想教育方式方法，采取学生喜闻乐见的形式，引导广大毕业生积极主动就业，自觉到基层、到西部、到祖国最需要的地方建功立业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；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二是积极配合有关部门精心组织实施“西部计划”、“三支一扶计划”、“村官选聘”等基层就业项目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；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三是持续关心参加基层就业项目的毕业生，在服务期满时，为他们的“再就业”提供政策及信息服务。</w:t>
      </w:r>
    </w:p>
    <w:p w:rsidR="00872ADE" w:rsidRPr="00872ADE" w:rsidRDefault="00872ADE" w:rsidP="00872ADE">
      <w:pPr>
        <w:widowControl/>
        <w:shd w:val="clear" w:color="auto" w:fill="FFFFFF"/>
        <w:spacing w:line="5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872ADE">
        <w:rPr>
          <w:rFonts w:ascii="仿宋" w:eastAsia="仿宋" w:hAnsi="仿宋" w:hint="eastAsia"/>
          <w:b/>
          <w:sz w:val="30"/>
          <w:szCs w:val="30"/>
        </w:rPr>
        <w:t>三</w:t>
      </w:r>
      <w:r w:rsidRPr="00872ADE">
        <w:rPr>
          <w:rFonts w:ascii="仿宋" w:eastAsia="仿宋" w:hAnsi="仿宋"/>
          <w:b/>
          <w:sz w:val="30"/>
          <w:szCs w:val="30"/>
        </w:rPr>
        <w:t>、注重分类帮扶助推优质就业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2"/>
        <w:jc w:val="left"/>
        <w:rPr>
          <w:rFonts w:ascii="仿宋" w:eastAsia="仿宋" w:hAnsi="仿宋" w:hint="eastAsia"/>
          <w:b/>
          <w:bCs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b/>
          <w:bCs/>
          <w:color w:val="333333"/>
          <w:kern w:val="0"/>
          <w:sz w:val="30"/>
          <w:szCs w:val="30"/>
        </w:rPr>
        <w:t>（一）助推优秀学生成功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" w:eastAsia="仿宋" w:hAnsi="仿宋" w:hint="eastAsia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一是鼓励富有创新创业精神与能力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强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的学生积极参与创业实践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，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实现自身发展的同时带动其他学生成功就业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；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二是重点引导和支持优秀学生报考选调生、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研究生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，组织好相关培训辅导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。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="600"/>
        <w:jc w:val="left"/>
        <w:rPr>
          <w:rFonts w:ascii="仿宋" w:eastAsia="仿宋" w:hAnsi="仿宋" w:hint="eastAsia"/>
          <w:b/>
          <w:bCs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b/>
          <w:bCs/>
          <w:color w:val="333333"/>
          <w:kern w:val="0"/>
          <w:sz w:val="30"/>
          <w:szCs w:val="30"/>
        </w:rPr>
        <w:t>（</w:t>
      </w:r>
      <w:r w:rsidRPr="005F4C9F">
        <w:rPr>
          <w:rFonts w:ascii="仿宋" w:eastAsia="仿宋" w:hAnsi="仿宋" w:hint="eastAsia"/>
          <w:b/>
          <w:bCs/>
          <w:color w:val="333333"/>
          <w:kern w:val="0"/>
          <w:sz w:val="30"/>
          <w:szCs w:val="30"/>
        </w:rPr>
        <w:t>二</w:t>
      </w:r>
      <w:r w:rsidRPr="005F4C9F">
        <w:rPr>
          <w:rFonts w:ascii="仿宋" w:eastAsia="仿宋" w:hAnsi="仿宋"/>
          <w:b/>
          <w:bCs/>
          <w:color w:val="333333"/>
          <w:kern w:val="0"/>
          <w:sz w:val="30"/>
          <w:szCs w:val="30"/>
        </w:rPr>
        <w:t>）帮扶困难学生就业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lastRenderedPageBreak/>
        <w:t>一是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对家庭困难毕业生建立台账，通过举办专场招聘活动、开展个性化辅导、推荐岗位信息等多种方式，帮助他们尽快实现就业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；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二是对建档立卡贫困家庭毕业生和零就业家庭毕业生，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联系领导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要亲自过问，指定专人具体负责，实施“一生一策”专项帮扶，千方百计帮助他们实现就业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；三是对学业差导致就业难的学生及时联系专业老师安排免费“回炉”培训，欠缺求职技能的提供个别就业指导；四是对心理素质差的毕业生，要提供个别心理辅导和就业指导，帮助他们分析原因、查找亮点、提升能力、树立自信，通过各种途径和社会资源为他们推荐、介绍合适的岗位，尽快帮助他们顺利走向社会；五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是继续实施“离校未就业毕业生就业促进计划”，持续为毕业生提供就业指导和信息服务，确保“离校不离线、服务不间断”。</w:t>
      </w:r>
      <w:r w:rsidRPr="005F4C9F">
        <w:rPr>
          <w:rFonts w:eastAsia="仿宋"/>
          <w:color w:val="333333"/>
          <w:kern w:val="0"/>
          <w:sz w:val="30"/>
          <w:szCs w:val="30"/>
        </w:rPr>
        <w:t> </w:t>
      </w:r>
    </w:p>
    <w:p w:rsidR="00872ADE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 w:hint="eastAsia"/>
          <w:color w:val="333333"/>
          <w:kern w:val="0"/>
          <w:sz w:val="30"/>
          <w:szCs w:val="30"/>
        </w:rPr>
      </w:pPr>
    </w:p>
    <w:p w:rsidR="00872ADE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 w:hint="eastAsia"/>
          <w:color w:val="333333"/>
          <w:kern w:val="0"/>
          <w:sz w:val="30"/>
          <w:szCs w:val="30"/>
        </w:rPr>
      </w:pPr>
    </w:p>
    <w:p w:rsidR="00872ADE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 w:hint="eastAsia"/>
          <w:color w:val="333333"/>
          <w:kern w:val="0"/>
          <w:sz w:val="30"/>
          <w:szCs w:val="30"/>
        </w:rPr>
      </w:pPr>
    </w:p>
    <w:p w:rsidR="00872ADE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 w:hint="eastAsia"/>
          <w:color w:val="333333"/>
          <w:kern w:val="0"/>
          <w:sz w:val="30"/>
          <w:szCs w:val="30"/>
        </w:rPr>
      </w:pP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电子与信息工程学院</w:t>
      </w:r>
    </w:p>
    <w:p w:rsidR="00872ADE" w:rsidRPr="005F4C9F" w:rsidRDefault="00872ADE" w:rsidP="00872ADE">
      <w:pPr>
        <w:widowControl/>
        <w:shd w:val="clear" w:color="auto" w:fill="FFFFFF"/>
        <w:spacing w:line="500" w:lineRule="exact"/>
        <w:ind w:right="-58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20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20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年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4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月1</w:t>
      </w:r>
      <w:r w:rsidRPr="005F4C9F">
        <w:rPr>
          <w:rFonts w:ascii="仿宋" w:eastAsia="仿宋" w:hAnsi="仿宋" w:hint="eastAsia"/>
          <w:color w:val="333333"/>
          <w:kern w:val="0"/>
          <w:sz w:val="30"/>
          <w:szCs w:val="30"/>
        </w:rPr>
        <w:t>5</w:t>
      </w:r>
      <w:r w:rsidRPr="005F4C9F">
        <w:rPr>
          <w:rFonts w:ascii="仿宋" w:eastAsia="仿宋" w:hAnsi="仿宋"/>
          <w:color w:val="333333"/>
          <w:kern w:val="0"/>
          <w:sz w:val="30"/>
          <w:szCs w:val="30"/>
        </w:rPr>
        <w:t>日</w:t>
      </w:r>
    </w:p>
    <w:p w:rsidR="00872ADE" w:rsidRPr="00872ADE" w:rsidRDefault="00872ADE" w:rsidP="00872ADE">
      <w:pPr>
        <w:spacing w:line="500" w:lineRule="exact"/>
        <w:jc w:val="center"/>
        <w:rPr>
          <w:rFonts w:ascii="宋体" w:hAnsi="宋体"/>
          <w:color w:val="000000"/>
          <w:sz w:val="44"/>
          <w:szCs w:val="32"/>
        </w:rPr>
      </w:pPr>
    </w:p>
    <w:sectPr w:rsidR="00872ADE" w:rsidRPr="00872ADE" w:rsidSect="00656145">
      <w:pgSz w:w="11906" w:h="16838"/>
      <w:pgMar w:top="1440" w:right="991" w:bottom="1440" w:left="993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9C" w:rsidRPr="00431A98" w:rsidRDefault="00AB089C" w:rsidP="00F6598A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0">
    <w:p w:rsidR="00AB089C" w:rsidRPr="00431A98" w:rsidRDefault="00AB089C" w:rsidP="00F6598A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9C" w:rsidRPr="00431A98" w:rsidRDefault="00AB089C" w:rsidP="00F6598A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0">
    <w:p w:rsidR="00AB089C" w:rsidRPr="00431A98" w:rsidRDefault="00AB089C" w:rsidP="00F6598A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FD3"/>
    <w:multiLevelType w:val="multilevel"/>
    <w:tmpl w:val="19FA4FD3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1F97FAE"/>
    <w:multiLevelType w:val="multilevel"/>
    <w:tmpl w:val="21F97FAE"/>
    <w:lvl w:ilvl="0">
      <w:start w:val="1"/>
      <w:numFmt w:val="japaneseCounting"/>
      <w:lvlText w:val="（%1）"/>
      <w:lvlJc w:val="left"/>
      <w:pPr>
        <w:ind w:left="14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6145"/>
    <w:rsid w:val="000267BC"/>
    <w:rsid w:val="0011413B"/>
    <w:rsid w:val="00206035"/>
    <w:rsid w:val="00323B43"/>
    <w:rsid w:val="003D37D8"/>
    <w:rsid w:val="00427F88"/>
    <w:rsid w:val="004358AB"/>
    <w:rsid w:val="00653FEA"/>
    <w:rsid w:val="00656145"/>
    <w:rsid w:val="00685B06"/>
    <w:rsid w:val="007950B6"/>
    <w:rsid w:val="008129D1"/>
    <w:rsid w:val="00842AF5"/>
    <w:rsid w:val="00871882"/>
    <w:rsid w:val="00872ADE"/>
    <w:rsid w:val="008B7726"/>
    <w:rsid w:val="00901114"/>
    <w:rsid w:val="009E2CE8"/>
    <w:rsid w:val="00A3160A"/>
    <w:rsid w:val="00A70B67"/>
    <w:rsid w:val="00AB089C"/>
    <w:rsid w:val="00B63195"/>
    <w:rsid w:val="00BB6203"/>
    <w:rsid w:val="00C30CA8"/>
    <w:rsid w:val="00CE5519"/>
    <w:rsid w:val="00D5080A"/>
    <w:rsid w:val="00DC2D8F"/>
    <w:rsid w:val="00F008C2"/>
    <w:rsid w:val="00F35A81"/>
    <w:rsid w:val="00F6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4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6598A"/>
    <w:pPr>
      <w:keepNext/>
      <w:keepLines/>
      <w:spacing w:before="340" w:after="330" w:line="576" w:lineRule="auto"/>
      <w:outlineLvl w:val="0"/>
    </w:pPr>
    <w:rPr>
      <w:rFonts w:ascii="宋体" w:hAnsi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F6598A"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F65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6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598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598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508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5080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10</cp:revision>
  <dcterms:created xsi:type="dcterms:W3CDTF">2018-01-11T01:41:00Z</dcterms:created>
  <dcterms:modified xsi:type="dcterms:W3CDTF">2020-04-21T02:30:00Z</dcterms:modified>
</cp:coreProperties>
</file>